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B5F4" w14:textId="2BC3C4D4" w:rsidR="008E0E56" w:rsidRPr="008278D6" w:rsidRDefault="00657A5B" w:rsidP="00657A5B">
      <w:pPr>
        <w:jc w:val="both"/>
        <w:rPr>
          <w:rFonts w:ascii="Calibri bo" w:hAnsi="Calibri bo" w:cs="Calibri"/>
          <w:b/>
          <w:bCs/>
        </w:rPr>
      </w:pPr>
      <w:r w:rsidRPr="008278D6">
        <w:rPr>
          <w:rFonts w:ascii="Calibri bo" w:hAnsi="Calibri bo" w:cs="Calibri"/>
          <w:b/>
          <w:bCs/>
        </w:rPr>
        <w:t xml:space="preserve">Disclosure of Mandatory Investments by Helios Capital Asset Management (India) Private Limited (AMC) in the Schemes of Helios Mutual Fund </w:t>
      </w:r>
      <w:r w:rsidR="001C6837" w:rsidRPr="008278D6">
        <w:rPr>
          <w:rFonts w:ascii="Calibri bo" w:hAnsi="Calibri bo" w:cs="Calibri"/>
          <w:b/>
          <w:bCs/>
        </w:rPr>
        <w:t xml:space="preserve">(Fund) </w:t>
      </w:r>
      <w:r w:rsidRPr="008278D6">
        <w:rPr>
          <w:rFonts w:ascii="Calibri bo" w:hAnsi="Calibri bo" w:cs="Calibri"/>
          <w:b/>
          <w:bCs/>
        </w:rPr>
        <w:t xml:space="preserve">based on quarterly Average Asset Under Management (AAUM) of the </w:t>
      </w:r>
      <w:r w:rsidR="001C6837" w:rsidRPr="008278D6">
        <w:rPr>
          <w:rFonts w:ascii="Calibri bo" w:hAnsi="Calibri bo" w:cs="Calibri"/>
          <w:b/>
          <w:bCs/>
        </w:rPr>
        <w:t>respective s</w:t>
      </w:r>
      <w:r w:rsidRPr="008278D6">
        <w:rPr>
          <w:rFonts w:ascii="Calibri bo" w:hAnsi="Calibri bo" w:cs="Calibri"/>
          <w:b/>
          <w:bCs/>
        </w:rPr>
        <w:t>chemes</w:t>
      </w:r>
      <w:r w:rsidR="001C6837" w:rsidRPr="008278D6">
        <w:rPr>
          <w:rFonts w:ascii="Calibri bo" w:hAnsi="Calibri bo" w:cs="Calibri"/>
          <w:b/>
          <w:bCs/>
        </w:rPr>
        <w:t xml:space="preserve"> as on</w:t>
      </w:r>
      <w:r w:rsidRPr="008278D6">
        <w:rPr>
          <w:rFonts w:ascii="Calibri bo" w:hAnsi="Calibri bo" w:cs="Calibri"/>
          <w:b/>
          <w:bCs/>
        </w:rPr>
        <w:t xml:space="preserve"> December</w:t>
      </w:r>
      <w:r w:rsidR="001C6837" w:rsidRPr="008278D6">
        <w:rPr>
          <w:rFonts w:ascii="Calibri bo" w:hAnsi="Calibri bo" w:cs="Calibri"/>
          <w:b/>
          <w:bCs/>
        </w:rPr>
        <w:t xml:space="preserve"> 31</w:t>
      </w:r>
      <w:r w:rsidRPr="008278D6">
        <w:rPr>
          <w:rFonts w:ascii="Calibri bo" w:hAnsi="Calibri bo" w:cs="Calibri"/>
          <w:b/>
          <w:bCs/>
        </w:rPr>
        <w:t>, 2023</w:t>
      </w:r>
    </w:p>
    <w:p w14:paraId="50286C19" w14:textId="2C6A95C2" w:rsidR="001C6837" w:rsidRPr="008278D6" w:rsidRDefault="008278D6" w:rsidP="001C6837">
      <w:pPr>
        <w:jc w:val="both"/>
        <w:rPr>
          <w:rFonts w:ascii="Calibri bo" w:hAnsi="Calibri bo" w:cs="Calibri"/>
          <w:b/>
          <w:bCs/>
        </w:rPr>
      </w:pPr>
      <w:r>
        <w:rPr>
          <w:rFonts w:ascii="Calibri bo" w:hAnsi="Calibri bo" w:cs="Calibri"/>
        </w:rPr>
        <w:t>[</w:t>
      </w:r>
      <w:r w:rsidR="001C6837" w:rsidRPr="008278D6">
        <w:rPr>
          <w:rFonts w:ascii="Calibri bo" w:hAnsi="Calibri bo" w:cs="Calibri"/>
        </w:rPr>
        <w:t xml:space="preserve">Pursuant to Regulation 25 (16A) of SEBI (Mutual Funds) Regulations, 1996 read with SEBI Para 6.9 of SEBI Master Circular for Mutual Funds dated May 19, </w:t>
      </w:r>
      <w:proofErr w:type="gramStart"/>
      <w:r w:rsidR="001C6837" w:rsidRPr="008278D6">
        <w:rPr>
          <w:rFonts w:ascii="Calibri bo" w:hAnsi="Calibri bo" w:cs="Calibri"/>
        </w:rPr>
        <w:t>2023</w:t>
      </w:r>
      <w:proofErr w:type="gramEnd"/>
      <w:r w:rsidR="001C6837" w:rsidRPr="008278D6">
        <w:rPr>
          <w:rFonts w:ascii="Calibri bo" w:hAnsi="Calibri bo" w:cs="Calibri"/>
        </w:rPr>
        <w:t xml:space="preserve"> and AMFI Best Practice Guideline No. 100 dated April 26, 2022 on ‘Alignment of interest of Asset Management Companies with the Unitholders of the Mutual Fund Schemes’</w:t>
      </w:r>
      <w:r>
        <w:rPr>
          <w:rFonts w:ascii="Calibri bo" w:hAnsi="Calibri bo" w:cs="Calibri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1C6837" w:rsidRPr="008278D6" w14:paraId="1A15FBBA" w14:textId="77777777" w:rsidTr="001C6837">
        <w:tc>
          <w:tcPr>
            <w:tcW w:w="846" w:type="dxa"/>
          </w:tcPr>
          <w:p w14:paraId="63245F75" w14:textId="0AB80B3A" w:rsidR="001C6837" w:rsidRPr="008278D6" w:rsidRDefault="001C6837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 w:rsidRPr="008278D6">
              <w:rPr>
                <w:rFonts w:ascii="Calibri bo" w:hAnsi="Calibri bo" w:cs="Calibri"/>
                <w:b/>
                <w:bCs/>
              </w:rPr>
              <w:t>Sl. No.</w:t>
            </w:r>
          </w:p>
        </w:tc>
        <w:tc>
          <w:tcPr>
            <w:tcW w:w="5164" w:type="dxa"/>
          </w:tcPr>
          <w:p w14:paraId="0A7CC5FE" w14:textId="2FF19D18" w:rsidR="001C6837" w:rsidRPr="008278D6" w:rsidRDefault="001C6837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 w:rsidRPr="008278D6">
              <w:rPr>
                <w:rFonts w:ascii="Calibri bo" w:hAnsi="Calibri bo" w:cs="Calibri"/>
                <w:b/>
                <w:bCs/>
              </w:rPr>
              <w:t>Name of the Scheme</w:t>
            </w:r>
          </w:p>
        </w:tc>
        <w:tc>
          <w:tcPr>
            <w:tcW w:w="3006" w:type="dxa"/>
          </w:tcPr>
          <w:p w14:paraId="45D89029" w14:textId="77777777" w:rsidR="001C6837" w:rsidRPr="008278D6" w:rsidRDefault="001C6837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 w:rsidRPr="008278D6">
              <w:rPr>
                <w:rFonts w:ascii="Calibri bo" w:hAnsi="Calibri bo" w:cs="Calibri"/>
                <w:b/>
                <w:bCs/>
              </w:rPr>
              <w:t xml:space="preserve">Amount invested by </w:t>
            </w:r>
            <w:proofErr w:type="gramStart"/>
            <w:r w:rsidRPr="008278D6">
              <w:rPr>
                <w:rFonts w:ascii="Calibri bo" w:hAnsi="Calibri bo" w:cs="Calibri"/>
                <w:b/>
                <w:bCs/>
              </w:rPr>
              <w:t>AMC</w:t>
            </w:r>
            <w:proofErr w:type="gramEnd"/>
            <w:r w:rsidRPr="008278D6">
              <w:rPr>
                <w:rFonts w:ascii="Calibri bo" w:hAnsi="Calibri bo" w:cs="Calibri"/>
                <w:b/>
                <w:bCs/>
              </w:rPr>
              <w:t xml:space="preserve"> </w:t>
            </w:r>
          </w:p>
          <w:p w14:paraId="5C35E16D" w14:textId="7C790D5D" w:rsidR="001C6837" w:rsidRPr="008278D6" w:rsidRDefault="001C6837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 w:rsidRPr="008278D6">
              <w:rPr>
                <w:rFonts w:ascii="Calibri bo" w:hAnsi="Calibri bo" w:cs="Calibri"/>
                <w:b/>
                <w:bCs/>
              </w:rPr>
              <w:t>(Rs. Crore)</w:t>
            </w:r>
          </w:p>
        </w:tc>
      </w:tr>
      <w:tr w:rsidR="001C6837" w:rsidRPr="008278D6" w14:paraId="7719F93C" w14:textId="77777777" w:rsidTr="001C6837">
        <w:tc>
          <w:tcPr>
            <w:tcW w:w="846" w:type="dxa"/>
          </w:tcPr>
          <w:p w14:paraId="0E3E0628" w14:textId="4B6D6800" w:rsidR="001C6837" w:rsidRPr="008278D6" w:rsidRDefault="001C6837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 w:rsidRPr="008278D6">
              <w:rPr>
                <w:rFonts w:ascii="Calibri bo" w:hAnsi="Calibri bo" w:cs="Calibri"/>
                <w:b/>
                <w:bCs/>
              </w:rPr>
              <w:t>1.</w:t>
            </w:r>
          </w:p>
        </w:tc>
        <w:tc>
          <w:tcPr>
            <w:tcW w:w="5164" w:type="dxa"/>
          </w:tcPr>
          <w:p w14:paraId="78E1ACA1" w14:textId="4A14F3E8" w:rsidR="001C6837" w:rsidRPr="007427CC" w:rsidRDefault="001C6837" w:rsidP="008E0E56">
            <w:pPr>
              <w:jc w:val="center"/>
              <w:rPr>
                <w:rFonts w:ascii="Calibri bo" w:hAnsi="Calibri bo" w:cs="Calibri"/>
              </w:rPr>
            </w:pPr>
            <w:r w:rsidRPr="007427CC">
              <w:rPr>
                <w:rFonts w:ascii="Calibri bo" w:hAnsi="Calibri bo" w:cs="Calibri"/>
              </w:rPr>
              <w:t>Helios Flexi Cap Fund</w:t>
            </w:r>
          </w:p>
        </w:tc>
        <w:tc>
          <w:tcPr>
            <w:tcW w:w="3006" w:type="dxa"/>
          </w:tcPr>
          <w:p w14:paraId="4FCFEF3E" w14:textId="582BD060" w:rsidR="001C6837" w:rsidRPr="007427CC" w:rsidRDefault="007427CC" w:rsidP="008E0E56">
            <w:pPr>
              <w:jc w:val="center"/>
              <w:rPr>
                <w:rFonts w:ascii="Calibri bo" w:hAnsi="Calibri bo" w:cs="Calibri"/>
              </w:rPr>
            </w:pPr>
            <w:r w:rsidRPr="007427CC">
              <w:rPr>
                <w:rFonts w:ascii="Calibri bo" w:hAnsi="Calibri bo" w:cs="Calibri"/>
              </w:rPr>
              <w:t>1.114</w:t>
            </w:r>
          </w:p>
        </w:tc>
      </w:tr>
      <w:tr w:rsidR="008278D6" w:rsidRPr="008278D6" w14:paraId="39DDF617" w14:textId="77777777" w:rsidTr="001C6837">
        <w:tc>
          <w:tcPr>
            <w:tcW w:w="846" w:type="dxa"/>
          </w:tcPr>
          <w:p w14:paraId="545752F1" w14:textId="77777777" w:rsidR="008278D6" w:rsidRPr="008278D6" w:rsidRDefault="008278D6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</w:p>
        </w:tc>
        <w:tc>
          <w:tcPr>
            <w:tcW w:w="5164" w:type="dxa"/>
          </w:tcPr>
          <w:p w14:paraId="3515B960" w14:textId="41D99FD6" w:rsidR="008278D6" w:rsidRPr="008278D6" w:rsidRDefault="008278D6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>
              <w:rPr>
                <w:rFonts w:ascii="Calibri bo" w:hAnsi="Calibri bo" w:cs="Calibri"/>
                <w:b/>
                <w:bCs/>
              </w:rPr>
              <w:t>Total</w:t>
            </w:r>
          </w:p>
        </w:tc>
        <w:tc>
          <w:tcPr>
            <w:tcW w:w="3006" w:type="dxa"/>
          </w:tcPr>
          <w:p w14:paraId="1D7558D7" w14:textId="00BE1518" w:rsidR="008278D6" w:rsidRPr="008278D6" w:rsidRDefault="007427CC" w:rsidP="008E0E56">
            <w:pPr>
              <w:jc w:val="center"/>
              <w:rPr>
                <w:rFonts w:ascii="Calibri bo" w:hAnsi="Calibri bo" w:cs="Calibri"/>
                <w:b/>
                <w:bCs/>
              </w:rPr>
            </w:pPr>
            <w:r>
              <w:rPr>
                <w:rFonts w:ascii="Calibri bo" w:hAnsi="Calibri bo" w:cs="Calibri"/>
                <w:b/>
                <w:bCs/>
              </w:rPr>
              <w:t>1.114</w:t>
            </w:r>
          </w:p>
        </w:tc>
      </w:tr>
    </w:tbl>
    <w:p w14:paraId="25FEABA3" w14:textId="77777777" w:rsidR="008278D6" w:rsidRDefault="008278D6" w:rsidP="001C6837">
      <w:pPr>
        <w:jc w:val="both"/>
        <w:rPr>
          <w:rFonts w:ascii="Calibri bo" w:hAnsi="Calibri bo" w:cs="Calibri"/>
        </w:rPr>
      </w:pPr>
    </w:p>
    <w:p w14:paraId="1AD714E5" w14:textId="54D5B7F2" w:rsidR="001C6837" w:rsidRPr="008278D6" w:rsidRDefault="001C6837" w:rsidP="001C6837">
      <w:pPr>
        <w:jc w:val="both"/>
        <w:rPr>
          <w:rFonts w:ascii="Calibri bo" w:hAnsi="Calibri bo" w:cs="Calibri"/>
        </w:rPr>
      </w:pPr>
      <w:r w:rsidRPr="008278D6">
        <w:rPr>
          <w:rFonts w:ascii="Calibri bo" w:hAnsi="Calibri bo" w:cs="Calibri"/>
        </w:rPr>
        <w:t>Notes:</w:t>
      </w:r>
    </w:p>
    <w:p w14:paraId="05FC36C9" w14:textId="6B17FA10" w:rsidR="00BC6BBD" w:rsidRPr="008278D6" w:rsidRDefault="00BC6BBD" w:rsidP="00BC6BBD">
      <w:pPr>
        <w:pStyle w:val="ListParagraph"/>
        <w:numPr>
          <w:ilvl w:val="0"/>
          <w:numId w:val="1"/>
        </w:numPr>
        <w:jc w:val="both"/>
        <w:rPr>
          <w:rFonts w:ascii="Calibri bo" w:hAnsi="Calibri bo" w:cs="Calibri"/>
        </w:rPr>
      </w:pPr>
      <w:r w:rsidRPr="008278D6">
        <w:rPr>
          <w:rFonts w:ascii="Calibri bo" w:hAnsi="Calibri bo" w:cs="Calibri"/>
        </w:rPr>
        <w:t xml:space="preserve">Investments are shown for the valuation date </w:t>
      </w:r>
      <w:r w:rsidR="007427CC">
        <w:rPr>
          <w:rFonts w:ascii="Calibri bo" w:hAnsi="Calibri bo" w:cs="Calibri"/>
        </w:rPr>
        <w:t>31-Dec-2023</w:t>
      </w:r>
      <w:r w:rsidRPr="008278D6">
        <w:rPr>
          <w:rFonts w:ascii="Calibri bo" w:hAnsi="Calibri bo" w:cs="Calibri"/>
        </w:rPr>
        <w:t>.</w:t>
      </w:r>
    </w:p>
    <w:p w14:paraId="096BC1F3" w14:textId="77777777" w:rsidR="00BC6BBD" w:rsidRDefault="00BC6BBD" w:rsidP="00BC6BBD">
      <w:pPr>
        <w:pStyle w:val="ListParagraph"/>
        <w:jc w:val="both"/>
        <w:rPr>
          <w:rFonts w:ascii="Calibri bo" w:hAnsi="Calibri bo" w:cs="Calibri"/>
        </w:rPr>
      </w:pPr>
    </w:p>
    <w:p w14:paraId="6EAFF580" w14:textId="37CE8224" w:rsidR="00657A5B" w:rsidRDefault="00657A5B" w:rsidP="008278D6">
      <w:pPr>
        <w:pStyle w:val="ListParagraph"/>
        <w:numPr>
          <w:ilvl w:val="0"/>
          <w:numId w:val="1"/>
        </w:numPr>
        <w:jc w:val="both"/>
        <w:rPr>
          <w:rFonts w:ascii="Calibri bo" w:hAnsi="Calibri bo" w:cs="Calibri"/>
        </w:rPr>
      </w:pPr>
      <w:r w:rsidRPr="008278D6">
        <w:rPr>
          <w:rFonts w:ascii="Calibri bo" w:hAnsi="Calibri bo" w:cs="Calibri"/>
        </w:rPr>
        <w:t>Amount disclosed above is after rebalancing</w:t>
      </w:r>
      <w:r w:rsidR="008278D6" w:rsidRPr="008278D6">
        <w:rPr>
          <w:rFonts w:ascii="Calibri bo" w:hAnsi="Calibri bo" w:cs="Calibri"/>
        </w:rPr>
        <w:t xml:space="preserve"> (if any)</w:t>
      </w:r>
      <w:r w:rsidRPr="008278D6">
        <w:rPr>
          <w:rFonts w:ascii="Calibri bo" w:hAnsi="Calibri bo" w:cs="Calibri"/>
        </w:rPr>
        <w:t xml:space="preserve"> </w:t>
      </w:r>
      <w:r w:rsidR="008278D6" w:rsidRPr="008278D6">
        <w:rPr>
          <w:rFonts w:ascii="Calibri bo" w:hAnsi="Calibri bo" w:cs="Calibri"/>
        </w:rPr>
        <w:t xml:space="preserve">done </w:t>
      </w:r>
      <w:r w:rsidR="008278D6">
        <w:rPr>
          <w:rFonts w:ascii="Calibri bo" w:hAnsi="Calibri bo" w:cs="Calibri"/>
        </w:rPr>
        <w:t xml:space="preserve">based on the </w:t>
      </w:r>
      <w:r w:rsidR="008278D6" w:rsidRPr="008278D6">
        <w:rPr>
          <w:rFonts w:ascii="Calibri bo" w:hAnsi="Calibri bo" w:cs="Calibri"/>
        </w:rPr>
        <w:t xml:space="preserve">quarterly review of the of the respective schemes.  </w:t>
      </w:r>
    </w:p>
    <w:p w14:paraId="6BD035DB" w14:textId="77777777" w:rsidR="008278D6" w:rsidRPr="008278D6" w:rsidRDefault="008278D6" w:rsidP="008278D6">
      <w:pPr>
        <w:pStyle w:val="ListParagraph"/>
        <w:jc w:val="both"/>
        <w:rPr>
          <w:rFonts w:ascii="Calibri bo" w:hAnsi="Calibri bo" w:cs="Calibri"/>
        </w:rPr>
      </w:pPr>
    </w:p>
    <w:sectPr w:rsidR="008278D6" w:rsidRPr="0082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16E5"/>
    <w:multiLevelType w:val="hybridMultilevel"/>
    <w:tmpl w:val="1FB84F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9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AB"/>
    <w:rsid w:val="00047EAB"/>
    <w:rsid w:val="001C6837"/>
    <w:rsid w:val="002113D9"/>
    <w:rsid w:val="004E5D1E"/>
    <w:rsid w:val="00657A5B"/>
    <w:rsid w:val="007427CC"/>
    <w:rsid w:val="008278D6"/>
    <w:rsid w:val="008E0E56"/>
    <w:rsid w:val="00B85124"/>
    <w:rsid w:val="00B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EE57"/>
  <w15:chartTrackingRefBased/>
  <w15:docId w15:val="{4DB98CA2-C484-4BCC-BB22-F121BF5E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E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Khemani</dc:creator>
  <cp:keywords/>
  <dc:description/>
  <cp:lastModifiedBy>Abhinav Khemani</cp:lastModifiedBy>
  <cp:revision>6</cp:revision>
  <dcterms:created xsi:type="dcterms:W3CDTF">2023-12-29T10:13:00Z</dcterms:created>
  <dcterms:modified xsi:type="dcterms:W3CDTF">2024-01-03T08:31:00Z</dcterms:modified>
</cp:coreProperties>
</file>